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4"/>
        <w:tblW w:w="8505" w:type="dxa"/>
        <w:jc w:val="center"/>
        <w:tblLook w:val="04A0" w:firstRow="1" w:lastRow="0" w:firstColumn="1" w:lastColumn="0" w:noHBand="0" w:noVBand="1"/>
      </w:tblPr>
      <w:tblGrid>
        <w:gridCol w:w="4533"/>
        <w:gridCol w:w="951"/>
        <w:gridCol w:w="3021"/>
      </w:tblGrid>
      <w:tr w:rsidR="001107F5" w:rsidRPr="0005349C" w14:paraId="631347CF" w14:textId="77777777" w:rsidTr="00FD1E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5" w:type="dxa"/>
            <w:gridSpan w:val="3"/>
            <w:tcBorders>
              <w:bottom w:val="single" w:sz="12" w:space="0" w:color="auto"/>
            </w:tcBorders>
          </w:tcPr>
          <w:p w14:paraId="001C91D5" w14:textId="77777777" w:rsidR="001107F5" w:rsidRPr="0005349C" w:rsidRDefault="001107F5">
            <w:pPr>
              <w:widowControl/>
              <w:jc w:val="left"/>
              <w:rPr>
                <w:rFonts w:ascii="Times New Roman" w:eastAsia="宋体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Table S1. Semen parameters of the individual </w:t>
            </w:r>
            <w:r w:rsidRPr="0005349C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famil</w:t>
            </w: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y </w:t>
            </w:r>
            <w:r w:rsidR="00C81153"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804DD"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(Ⅱ-</w:t>
            </w:r>
            <w:r w:rsidR="004D36D5" w:rsidRPr="0005349C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="00B804DD"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C81153"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with a homozygous mutation in </w:t>
            </w:r>
            <w:r w:rsidRPr="0005349C">
              <w:rPr>
                <w:rFonts w:ascii="Times New Roman" w:eastAsia="宋体" w:hAnsi="Times New Roman" w:cs="Times New Roman"/>
                <w:i/>
                <w:color w:val="000000" w:themeColor="text1"/>
                <w:sz w:val="24"/>
                <w:szCs w:val="24"/>
              </w:rPr>
              <w:t>MAD2L1BP</w:t>
            </w:r>
          </w:p>
        </w:tc>
      </w:tr>
      <w:tr w:rsidR="001107F5" w:rsidRPr="0005349C" w14:paraId="065F3686" w14:textId="77777777" w:rsidTr="00FD1E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3" w:type="dxa"/>
            <w:tcBorders>
              <w:top w:val="single" w:sz="12" w:space="0" w:color="auto"/>
              <w:bottom w:val="single" w:sz="12" w:space="0" w:color="auto"/>
            </w:tcBorders>
          </w:tcPr>
          <w:p w14:paraId="75B6A936" w14:textId="77777777" w:rsidR="001107F5" w:rsidRPr="0005349C" w:rsidRDefault="00850DD4">
            <w:pPr>
              <w:widowControl/>
              <w:jc w:val="left"/>
              <w:rPr>
                <w:rFonts w:ascii="Times New Roman" w:eastAsia="宋体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Item</w:t>
            </w:r>
          </w:p>
        </w:tc>
        <w:tc>
          <w:tcPr>
            <w:tcW w:w="951" w:type="dxa"/>
            <w:tcBorders>
              <w:top w:val="single" w:sz="12" w:space="0" w:color="auto"/>
              <w:bottom w:val="single" w:sz="12" w:space="0" w:color="auto"/>
            </w:tcBorders>
          </w:tcPr>
          <w:p w14:paraId="7B86831C" w14:textId="77777777" w:rsidR="001107F5" w:rsidRPr="0005349C" w:rsidRDefault="00FD1E62" w:rsidP="0029543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/>
                <w:color w:val="000000" w:themeColor="text1"/>
                <w:sz w:val="24"/>
                <w:szCs w:val="24"/>
              </w:rPr>
              <w:t>Va</w:t>
            </w:r>
            <w:r w:rsidRPr="0005349C"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  <w:t>lues</w:t>
            </w:r>
          </w:p>
        </w:tc>
        <w:tc>
          <w:tcPr>
            <w:tcW w:w="3021" w:type="dxa"/>
            <w:tcBorders>
              <w:top w:val="single" w:sz="12" w:space="0" w:color="auto"/>
              <w:bottom w:val="single" w:sz="12" w:space="0" w:color="auto"/>
            </w:tcBorders>
          </w:tcPr>
          <w:p w14:paraId="7260CB2B" w14:textId="77777777" w:rsidR="001107F5" w:rsidRPr="0005349C" w:rsidRDefault="00FD1E62" w:rsidP="0029543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  <w:t xml:space="preserve">Normal value </w:t>
            </w:r>
            <w:proofErr w:type="spellStart"/>
            <w:r w:rsidRPr="0005349C"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</w:rPr>
              <w:t>range</w:t>
            </w:r>
            <w:r w:rsidRPr="0005349C"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  <w:szCs w:val="24"/>
                <w:vertAlign w:val="superscript"/>
              </w:rPr>
              <w:t>a</w:t>
            </w:r>
            <w:proofErr w:type="spellEnd"/>
          </w:p>
        </w:tc>
      </w:tr>
      <w:tr w:rsidR="001107F5" w:rsidRPr="0005349C" w14:paraId="679C5034" w14:textId="77777777" w:rsidTr="00FD1E62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3" w:type="dxa"/>
            <w:tcBorders>
              <w:top w:val="single" w:sz="12" w:space="0" w:color="auto"/>
            </w:tcBorders>
          </w:tcPr>
          <w:p w14:paraId="0DBB5693" w14:textId="77777777" w:rsidR="001107F5" w:rsidRPr="0005349C" w:rsidRDefault="00FD1E62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  <w:t>Semen volume (ml)</w:t>
            </w:r>
          </w:p>
        </w:tc>
        <w:tc>
          <w:tcPr>
            <w:tcW w:w="951" w:type="dxa"/>
            <w:tcBorders>
              <w:top w:val="single" w:sz="12" w:space="0" w:color="auto"/>
            </w:tcBorders>
          </w:tcPr>
          <w:p w14:paraId="66F4F91A" w14:textId="77777777" w:rsidR="001107F5" w:rsidRPr="0005349C" w:rsidRDefault="00295432" w:rsidP="0029543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3021" w:type="dxa"/>
            <w:tcBorders>
              <w:top w:val="single" w:sz="12" w:space="0" w:color="auto"/>
            </w:tcBorders>
          </w:tcPr>
          <w:p w14:paraId="5F054105" w14:textId="77777777" w:rsidR="001107F5" w:rsidRPr="0005349C" w:rsidRDefault="00295432" w:rsidP="0029543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≥</w:t>
            </w: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 1.4</w:t>
            </w:r>
          </w:p>
        </w:tc>
      </w:tr>
      <w:tr w:rsidR="001107F5" w:rsidRPr="0005349C" w14:paraId="4E1F267F" w14:textId="77777777" w:rsidTr="00FD1E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3" w:type="dxa"/>
          </w:tcPr>
          <w:p w14:paraId="72BDD09A" w14:textId="77777777" w:rsidR="001107F5" w:rsidRPr="0005349C" w:rsidRDefault="00FD1E62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  <w:t>Sperm concentration (10</w:t>
            </w:r>
            <w:r w:rsidRPr="0005349C"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  <w:vertAlign w:val="superscript"/>
              </w:rPr>
              <w:t>6</w:t>
            </w:r>
            <w:r w:rsidRPr="0005349C"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per ml)</w:t>
            </w:r>
          </w:p>
        </w:tc>
        <w:tc>
          <w:tcPr>
            <w:tcW w:w="951" w:type="dxa"/>
          </w:tcPr>
          <w:p w14:paraId="76F88B7E" w14:textId="77777777" w:rsidR="001107F5" w:rsidRPr="0005349C" w:rsidRDefault="00295432" w:rsidP="0029543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0.8</w:t>
            </w:r>
          </w:p>
        </w:tc>
        <w:tc>
          <w:tcPr>
            <w:tcW w:w="3021" w:type="dxa"/>
          </w:tcPr>
          <w:p w14:paraId="380C622D" w14:textId="77777777" w:rsidR="001107F5" w:rsidRPr="0005349C" w:rsidRDefault="00295432" w:rsidP="0029543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≥</w:t>
            </w: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 15</w:t>
            </w:r>
          </w:p>
        </w:tc>
      </w:tr>
      <w:tr w:rsidR="001107F5" w:rsidRPr="0005349C" w14:paraId="48FA5A52" w14:textId="77777777" w:rsidTr="00FD1E62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3" w:type="dxa"/>
          </w:tcPr>
          <w:p w14:paraId="1C14C149" w14:textId="77777777" w:rsidR="001107F5" w:rsidRPr="0005349C" w:rsidRDefault="00FD1E62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  <w:t>Total sperm number (10</w:t>
            </w:r>
            <w:r w:rsidRPr="0005349C"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  <w:vertAlign w:val="superscript"/>
              </w:rPr>
              <w:t>6</w:t>
            </w:r>
            <w:r w:rsidRPr="0005349C"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per ejaculate)</w:t>
            </w:r>
          </w:p>
        </w:tc>
        <w:tc>
          <w:tcPr>
            <w:tcW w:w="951" w:type="dxa"/>
          </w:tcPr>
          <w:p w14:paraId="6347DD9E" w14:textId="77777777" w:rsidR="001107F5" w:rsidRPr="0005349C" w:rsidRDefault="00295432" w:rsidP="0029543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0.8</w:t>
            </w:r>
          </w:p>
        </w:tc>
        <w:tc>
          <w:tcPr>
            <w:tcW w:w="3021" w:type="dxa"/>
          </w:tcPr>
          <w:p w14:paraId="570DD6E8" w14:textId="77777777" w:rsidR="001107F5" w:rsidRPr="0005349C" w:rsidRDefault="00295432" w:rsidP="0029543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≥</w:t>
            </w: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 39</w:t>
            </w:r>
          </w:p>
        </w:tc>
      </w:tr>
      <w:tr w:rsidR="001107F5" w:rsidRPr="0005349C" w14:paraId="4C15CC26" w14:textId="77777777" w:rsidTr="00FD1E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3" w:type="dxa"/>
          </w:tcPr>
          <w:p w14:paraId="4767E60A" w14:textId="77777777" w:rsidR="001107F5" w:rsidRPr="0005349C" w:rsidRDefault="00FD1E62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  <w:t>Total motility (PR+NP, %)</w:t>
            </w:r>
          </w:p>
        </w:tc>
        <w:tc>
          <w:tcPr>
            <w:tcW w:w="951" w:type="dxa"/>
          </w:tcPr>
          <w:p w14:paraId="77F0D6D6" w14:textId="77777777" w:rsidR="001107F5" w:rsidRPr="0005349C" w:rsidRDefault="00295432" w:rsidP="0029543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11.1</w:t>
            </w:r>
          </w:p>
        </w:tc>
        <w:tc>
          <w:tcPr>
            <w:tcW w:w="3021" w:type="dxa"/>
          </w:tcPr>
          <w:p w14:paraId="6D6EBB56" w14:textId="77777777" w:rsidR="001107F5" w:rsidRPr="0005349C" w:rsidRDefault="00295432" w:rsidP="0029543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≥</w:t>
            </w: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 40</w:t>
            </w:r>
          </w:p>
        </w:tc>
      </w:tr>
      <w:tr w:rsidR="001107F5" w:rsidRPr="0005349C" w14:paraId="139C60B8" w14:textId="77777777" w:rsidTr="00FD1E62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3" w:type="dxa"/>
          </w:tcPr>
          <w:p w14:paraId="7B45BC05" w14:textId="77777777" w:rsidR="001107F5" w:rsidRPr="0005349C" w:rsidRDefault="00FD1E62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  <w:t>Progressive motility (PR, %)</w:t>
            </w:r>
          </w:p>
        </w:tc>
        <w:tc>
          <w:tcPr>
            <w:tcW w:w="951" w:type="dxa"/>
          </w:tcPr>
          <w:p w14:paraId="3D4B1370" w14:textId="77777777" w:rsidR="001107F5" w:rsidRPr="0005349C" w:rsidRDefault="00295432" w:rsidP="0029543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11.1</w:t>
            </w:r>
          </w:p>
        </w:tc>
        <w:tc>
          <w:tcPr>
            <w:tcW w:w="3021" w:type="dxa"/>
          </w:tcPr>
          <w:p w14:paraId="043580D7" w14:textId="77777777" w:rsidR="001107F5" w:rsidRPr="0005349C" w:rsidRDefault="00295432" w:rsidP="0029543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≥</w:t>
            </w: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 32</w:t>
            </w:r>
          </w:p>
        </w:tc>
      </w:tr>
      <w:tr w:rsidR="001107F5" w:rsidRPr="0005349C" w14:paraId="065719EB" w14:textId="77777777" w:rsidTr="00FD1E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3" w:type="dxa"/>
          </w:tcPr>
          <w:p w14:paraId="7137378D" w14:textId="77777777" w:rsidR="001107F5" w:rsidRPr="0005349C" w:rsidRDefault="00FD1E62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  <w:t>Non-progressive motility (NP, %)</w:t>
            </w:r>
          </w:p>
        </w:tc>
        <w:tc>
          <w:tcPr>
            <w:tcW w:w="951" w:type="dxa"/>
          </w:tcPr>
          <w:p w14:paraId="6E5B0BB7" w14:textId="77777777" w:rsidR="001107F5" w:rsidRPr="0005349C" w:rsidRDefault="00295432" w:rsidP="0029543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021" w:type="dxa"/>
          </w:tcPr>
          <w:p w14:paraId="35DD501C" w14:textId="77777777" w:rsidR="001107F5" w:rsidRPr="0005349C" w:rsidRDefault="001107F5" w:rsidP="00295432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107F5" w:rsidRPr="0005349C" w14:paraId="69FFD3D0" w14:textId="77777777" w:rsidTr="00FD1E62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3" w:type="dxa"/>
            <w:tcBorders>
              <w:bottom w:val="single" w:sz="12" w:space="0" w:color="auto"/>
            </w:tcBorders>
          </w:tcPr>
          <w:p w14:paraId="5689F462" w14:textId="77777777" w:rsidR="001107F5" w:rsidRPr="0005349C" w:rsidRDefault="00FD1E62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  <w:t>Immotile spermatozoa (IM, %)</w:t>
            </w:r>
          </w:p>
        </w:tc>
        <w:tc>
          <w:tcPr>
            <w:tcW w:w="951" w:type="dxa"/>
            <w:tcBorders>
              <w:bottom w:val="single" w:sz="12" w:space="0" w:color="auto"/>
            </w:tcBorders>
          </w:tcPr>
          <w:p w14:paraId="05712D4B" w14:textId="77777777" w:rsidR="001107F5" w:rsidRPr="0005349C" w:rsidRDefault="00295432" w:rsidP="0029543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88.9</w:t>
            </w:r>
          </w:p>
        </w:tc>
        <w:tc>
          <w:tcPr>
            <w:tcW w:w="3021" w:type="dxa"/>
            <w:tcBorders>
              <w:bottom w:val="single" w:sz="12" w:space="0" w:color="auto"/>
            </w:tcBorders>
          </w:tcPr>
          <w:p w14:paraId="61E359FB" w14:textId="77777777" w:rsidR="001107F5" w:rsidRPr="0005349C" w:rsidRDefault="001107F5" w:rsidP="00295432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1E62" w:rsidRPr="0005349C" w14:paraId="0C613038" w14:textId="77777777" w:rsidTr="00046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5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166DC668" w14:textId="77777777" w:rsidR="00FD1E62" w:rsidRPr="0005349C" w:rsidRDefault="00FD1E62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 w:val="0"/>
                <w:color w:val="000000" w:themeColor="text1"/>
                <w:sz w:val="24"/>
                <w:szCs w:val="24"/>
              </w:rPr>
              <w:t>a. Semen parameters were evaluated according to the World Health Organization 2010 guidelines.</w:t>
            </w:r>
          </w:p>
        </w:tc>
      </w:tr>
    </w:tbl>
    <w:p w14:paraId="46498205" w14:textId="3E74B345" w:rsidR="00C035C7" w:rsidRPr="0005349C" w:rsidRDefault="00C035C7" w:rsidP="00193058">
      <w:pPr>
        <w:widowControl/>
        <w:jc w:val="left"/>
        <w:rPr>
          <w:rFonts w:ascii="Times New Roman" w:eastAsia="宋体" w:hAnsi="Times New Roman" w:cs="Times New Roman"/>
          <w:color w:val="808080" w:themeColor="background1" w:themeShade="80"/>
          <w:sz w:val="24"/>
          <w:szCs w:val="24"/>
        </w:rPr>
      </w:pPr>
      <w:bookmarkStart w:id="0" w:name="_GoBack"/>
      <w:bookmarkEnd w:id="0"/>
    </w:p>
    <w:sectPr w:rsidR="00C035C7" w:rsidRPr="000534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3A10D" w14:textId="77777777" w:rsidR="009B5079" w:rsidRDefault="009B5079" w:rsidP="0018030E">
      <w:r>
        <w:separator/>
      </w:r>
    </w:p>
  </w:endnote>
  <w:endnote w:type="continuationSeparator" w:id="0">
    <w:p w14:paraId="4B7FF23A" w14:textId="77777777" w:rsidR="009B5079" w:rsidRDefault="009B5079" w:rsidP="0018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27A82" w14:textId="77777777" w:rsidR="009B5079" w:rsidRDefault="009B5079" w:rsidP="0018030E">
      <w:r>
        <w:separator/>
      </w:r>
    </w:p>
  </w:footnote>
  <w:footnote w:type="continuationSeparator" w:id="0">
    <w:p w14:paraId="458BB9FE" w14:textId="77777777" w:rsidR="009B5079" w:rsidRDefault="009B5079" w:rsidP="00180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mer J Human Genetics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2ptrzfvftdxw3exd5avfxtcsafrs9dvwfte&quot;&gt;MAD2L1BP&lt;record-ids&gt;&lt;item&gt;628&lt;/item&gt;&lt;item&gt;647&lt;/item&gt;&lt;item&gt;648&lt;/item&gt;&lt;/record-ids&gt;&lt;/item&gt;&lt;/Libraries&gt;"/>
  </w:docVars>
  <w:rsids>
    <w:rsidRoot w:val="0082561C"/>
    <w:rsid w:val="00001A29"/>
    <w:rsid w:val="0000439C"/>
    <w:rsid w:val="000228B3"/>
    <w:rsid w:val="00022BD9"/>
    <w:rsid w:val="00032DCF"/>
    <w:rsid w:val="00034EA9"/>
    <w:rsid w:val="00043A85"/>
    <w:rsid w:val="0005103C"/>
    <w:rsid w:val="0005349C"/>
    <w:rsid w:val="00056FEF"/>
    <w:rsid w:val="000719FD"/>
    <w:rsid w:val="000A2BA1"/>
    <w:rsid w:val="000A417C"/>
    <w:rsid w:val="000A4CCF"/>
    <w:rsid w:val="000A6AAB"/>
    <w:rsid w:val="000B44DB"/>
    <w:rsid w:val="000C6915"/>
    <w:rsid w:val="000D403E"/>
    <w:rsid w:val="000D4197"/>
    <w:rsid w:val="000F45DB"/>
    <w:rsid w:val="00102F1E"/>
    <w:rsid w:val="00105D03"/>
    <w:rsid w:val="0010686B"/>
    <w:rsid w:val="00107DD9"/>
    <w:rsid w:val="001107F5"/>
    <w:rsid w:val="00115160"/>
    <w:rsid w:val="001258C6"/>
    <w:rsid w:val="001275BB"/>
    <w:rsid w:val="00131FA3"/>
    <w:rsid w:val="00133247"/>
    <w:rsid w:val="00135243"/>
    <w:rsid w:val="001414C8"/>
    <w:rsid w:val="00150348"/>
    <w:rsid w:val="001550F8"/>
    <w:rsid w:val="00155C63"/>
    <w:rsid w:val="00155EAF"/>
    <w:rsid w:val="00161423"/>
    <w:rsid w:val="00161C48"/>
    <w:rsid w:val="00163725"/>
    <w:rsid w:val="00165C5F"/>
    <w:rsid w:val="0016729F"/>
    <w:rsid w:val="0018012F"/>
    <w:rsid w:val="0018030E"/>
    <w:rsid w:val="0018331C"/>
    <w:rsid w:val="00187F90"/>
    <w:rsid w:val="00193058"/>
    <w:rsid w:val="001936A6"/>
    <w:rsid w:val="0019650F"/>
    <w:rsid w:val="001A61A3"/>
    <w:rsid w:val="001C0974"/>
    <w:rsid w:val="001D7E65"/>
    <w:rsid w:val="001E479F"/>
    <w:rsid w:val="001E54B7"/>
    <w:rsid w:val="001E7EE0"/>
    <w:rsid w:val="001F00A3"/>
    <w:rsid w:val="001F581F"/>
    <w:rsid w:val="002016E0"/>
    <w:rsid w:val="00212B3E"/>
    <w:rsid w:val="002143AA"/>
    <w:rsid w:val="00216F2E"/>
    <w:rsid w:val="00217F98"/>
    <w:rsid w:val="00226A31"/>
    <w:rsid w:val="00230A9E"/>
    <w:rsid w:val="002411BD"/>
    <w:rsid w:val="002568DF"/>
    <w:rsid w:val="002660B4"/>
    <w:rsid w:val="00282C50"/>
    <w:rsid w:val="0028787C"/>
    <w:rsid w:val="00287C42"/>
    <w:rsid w:val="00292C02"/>
    <w:rsid w:val="00293C23"/>
    <w:rsid w:val="00295432"/>
    <w:rsid w:val="00297464"/>
    <w:rsid w:val="002B38CE"/>
    <w:rsid w:val="002D3570"/>
    <w:rsid w:val="002D77CA"/>
    <w:rsid w:val="002F5FA3"/>
    <w:rsid w:val="00304DB5"/>
    <w:rsid w:val="00312556"/>
    <w:rsid w:val="003129CF"/>
    <w:rsid w:val="003162CD"/>
    <w:rsid w:val="003400A4"/>
    <w:rsid w:val="003450FE"/>
    <w:rsid w:val="00346EAF"/>
    <w:rsid w:val="0035046D"/>
    <w:rsid w:val="003508EE"/>
    <w:rsid w:val="003607DC"/>
    <w:rsid w:val="00366686"/>
    <w:rsid w:val="00390C75"/>
    <w:rsid w:val="00397C23"/>
    <w:rsid w:val="00397ECC"/>
    <w:rsid w:val="003B3AF9"/>
    <w:rsid w:val="003B560E"/>
    <w:rsid w:val="003B58B0"/>
    <w:rsid w:val="003B7002"/>
    <w:rsid w:val="003C2449"/>
    <w:rsid w:val="003D5322"/>
    <w:rsid w:val="003E1A4F"/>
    <w:rsid w:val="003E3D44"/>
    <w:rsid w:val="003E4C66"/>
    <w:rsid w:val="003F6482"/>
    <w:rsid w:val="004022E6"/>
    <w:rsid w:val="00405244"/>
    <w:rsid w:val="00422F49"/>
    <w:rsid w:val="00443ADD"/>
    <w:rsid w:val="0046103D"/>
    <w:rsid w:val="004619E1"/>
    <w:rsid w:val="004707F8"/>
    <w:rsid w:val="004768FD"/>
    <w:rsid w:val="00482C8B"/>
    <w:rsid w:val="004869EA"/>
    <w:rsid w:val="00487B6F"/>
    <w:rsid w:val="00487BCD"/>
    <w:rsid w:val="0049330D"/>
    <w:rsid w:val="00497CFD"/>
    <w:rsid w:val="004A5ADC"/>
    <w:rsid w:val="004A6FB5"/>
    <w:rsid w:val="004B457F"/>
    <w:rsid w:val="004B56FE"/>
    <w:rsid w:val="004C4537"/>
    <w:rsid w:val="004C566F"/>
    <w:rsid w:val="004D0289"/>
    <w:rsid w:val="004D36D5"/>
    <w:rsid w:val="004D40B7"/>
    <w:rsid w:val="004E5ACD"/>
    <w:rsid w:val="004E7FFE"/>
    <w:rsid w:val="00503D42"/>
    <w:rsid w:val="00506E5B"/>
    <w:rsid w:val="005170D1"/>
    <w:rsid w:val="0051723E"/>
    <w:rsid w:val="00526E68"/>
    <w:rsid w:val="00534B1E"/>
    <w:rsid w:val="00536AA0"/>
    <w:rsid w:val="00540E81"/>
    <w:rsid w:val="00541007"/>
    <w:rsid w:val="00541B83"/>
    <w:rsid w:val="00596CD2"/>
    <w:rsid w:val="005A4545"/>
    <w:rsid w:val="005B0C17"/>
    <w:rsid w:val="005B52C0"/>
    <w:rsid w:val="005B5500"/>
    <w:rsid w:val="005C0B80"/>
    <w:rsid w:val="005D0D80"/>
    <w:rsid w:val="005D58C4"/>
    <w:rsid w:val="005D696A"/>
    <w:rsid w:val="005F1B00"/>
    <w:rsid w:val="00610E5F"/>
    <w:rsid w:val="00615BF3"/>
    <w:rsid w:val="0063131A"/>
    <w:rsid w:val="006334D1"/>
    <w:rsid w:val="00633555"/>
    <w:rsid w:val="00667375"/>
    <w:rsid w:val="006712B5"/>
    <w:rsid w:val="006774CD"/>
    <w:rsid w:val="006823E6"/>
    <w:rsid w:val="00685F5B"/>
    <w:rsid w:val="006910B7"/>
    <w:rsid w:val="00693B65"/>
    <w:rsid w:val="00696169"/>
    <w:rsid w:val="006B10F0"/>
    <w:rsid w:val="006B1B01"/>
    <w:rsid w:val="006B6DED"/>
    <w:rsid w:val="006B73BA"/>
    <w:rsid w:val="006D2D15"/>
    <w:rsid w:val="006D5936"/>
    <w:rsid w:val="006D5C6E"/>
    <w:rsid w:val="006E1F79"/>
    <w:rsid w:val="006E2C9C"/>
    <w:rsid w:val="006F0026"/>
    <w:rsid w:val="006F1E0F"/>
    <w:rsid w:val="00712CAF"/>
    <w:rsid w:val="00722984"/>
    <w:rsid w:val="00723F44"/>
    <w:rsid w:val="00724019"/>
    <w:rsid w:val="00730846"/>
    <w:rsid w:val="00736957"/>
    <w:rsid w:val="00765DBA"/>
    <w:rsid w:val="007671BC"/>
    <w:rsid w:val="00777A78"/>
    <w:rsid w:val="00780812"/>
    <w:rsid w:val="00780E1A"/>
    <w:rsid w:val="0079080D"/>
    <w:rsid w:val="007B6EF6"/>
    <w:rsid w:val="007B7A0C"/>
    <w:rsid w:val="007C07B2"/>
    <w:rsid w:val="007C5F2E"/>
    <w:rsid w:val="007E6300"/>
    <w:rsid w:val="007F4B7A"/>
    <w:rsid w:val="007F72D3"/>
    <w:rsid w:val="00811F71"/>
    <w:rsid w:val="0081420C"/>
    <w:rsid w:val="0082561C"/>
    <w:rsid w:val="008266EC"/>
    <w:rsid w:val="00831B0B"/>
    <w:rsid w:val="00840F56"/>
    <w:rsid w:val="00845896"/>
    <w:rsid w:val="0085070B"/>
    <w:rsid w:val="00850DD4"/>
    <w:rsid w:val="008514FE"/>
    <w:rsid w:val="00855916"/>
    <w:rsid w:val="00855B4C"/>
    <w:rsid w:val="00862B00"/>
    <w:rsid w:val="00864B4B"/>
    <w:rsid w:val="00884C8D"/>
    <w:rsid w:val="00887689"/>
    <w:rsid w:val="008A5AFA"/>
    <w:rsid w:val="008E3BB5"/>
    <w:rsid w:val="009022D2"/>
    <w:rsid w:val="00902BB6"/>
    <w:rsid w:val="00910D0E"/>
    <w:rsid w:val="009124D0"/>
    <w:rsid w:val="009159BC"/>
    <w:rsid w:val="0091632B"/>
    <w:rsid w:val="00926514"/>
    <w:rsid w:val="00931EB8"/>
    <w:rsid w:val="009343D4"/>
    <w:rsid w:val="009373EB"/>
    <w:rsid w:val="00944CD0"/>
    <w:rsid w:val="00954F7A"/>
    <w:rsid w:val="00967515"/>
    <w:rsid w:val="00970EBA"/>
    <w:rsid w:val="00983F46"/>
    <w:rsid w:val="00985F15"/>
    <w:rsid w:val="00990357"/>
    <w:rsid w:val="009B4DE7"/>
    <w:rsid w:val="009B5079"/>
    <w:rsid w:val="009C1ECC"/>
    <w:rsid w:val="009C3611"/>
    <w:rsid w:val="009D7560"/>
    <w:rsid w:val="009F40A9"/>
    <w:rsid w:val="00A039F6"/>
    <w:rsid w:val="00A17004"/>
    <w:rsid w:val="00A23717"/>
    <w:rsid w:val="00A4611C"/>
    <w:rsid w:val="00A55917"/>
    <w:rsid w:val="00A61A9D"/>
    <w:rsid w:val="00A82B41"/>
    <w:rsid w:val="00A87C4D"/>
    <w:rsid w:val="00AA1744"/>
    <w:rsid w:val="00AA2E42"/>
    <w:rsid w:val="00AB7544"/>
    <w:rsid w:val="00AE3A2E"/>
    <w:rsid w:val="00AE50AE"/>
    <w:rsid w:val="00AE62E5"/>
    <w:rsid w:val="00AF08B7"/>
    <w:rsid w:val="00AF40CB"/>
    <w:rsid w:val="00AF6A78"/>
    <w:rsid w:val="00B035AD"/>
    <w:rsid w:val="00B036A1"/>
    <w:rsid w:val="00B06119"/>
    <w:rsid w:val="00B0633B"/>
    <w:rsid w:val="00B17F6B"/>
    <w:rsid w:val="00B248E2"/>
    <w:rsid w:val="00B24A42"/>
    <w:rsid w:val="00B2509A"/>
    <w:rsid w:val="00B25AA2"/>
    <w:rsid w:val="00B27DCA"/>
    <w:rsid w:val="00B35E5A"/>
    <w:rsid w:val="00B4568C"/>
    <w:rsid w:val="00B45AF9"/>
    <w:rsid w:val="00B52E59"/>
    <w:rsid w:val="00B541A4"/>
    <w:rsid w:val="00B547FE"/>
    <w:rsid w:val="00B61064"/>
    <w:rsid w:val="00B64A6B"/>
    <w:rsid w:val="00B804DD"/>
    <w:rsid w:val="00B9298C"/>
    <w:rsid w:val="00BB28D0"/>
    <w:rsid w:val="00BB6F4A"/>
    <w:rsid w:val="00BD0911"/>
    <w:rsid w:val="00BE3B9E"/>
    <w:rsid w:val="00BF3974"/>
    <w:rsid w:val="00BF68B2"/>
    <w:rsid w:val="00C035C7"/>
    <w:rsid w:val="00C0578A"/>
    <w:rsid w:val="00C10489"/>
    <w:rsid w:val="00C12162"/>
    <w:rsid w:val="00C1458E"/>
    <w:rsid w:val="00C3250A"/>
    <w:rsid w:val="00C35C24"/>
    <w:rsid w:val="00C36139"/>
    <w:rsid w:val="00C378E5"/>
    <w:rsid w:val="00C42E2F"/>
    <w:rsid w:val="00C453D2"/>
    <w:rsid w:val="00C45FAC"/>
    <w:rsid w:val="00C470BD"/>
    <w:rsid w:val="00C53B05"/>
    <w:rsid w:val="00C80FF7"/>
    <w:rsid w:val="00C81153"/>
    <w:rsid w:val="00C82FB2"/>
    <w:rsid w:val="00CA7184"/>
    <w:rsid w:val="00CB4B8E"/>
    <w:rsid w:val="00CB4E3C"/>
    <w:rsid w:val="00CC1528"/>
    <w:rsid w:val="00CC1631"/>
    <w:rsid w:val="00CD4ED9"/>
    <w:rsid w:val="00CF1020"/>
    <w:rsid w:val="00CF4AC1"/>
    <w:rsid w:val="00D01388"/>
    <w:rsid w:val="00D17389"/>
    <w:rsid w:val="00D26561"/>
    <w:rsid w:val="00D35FDD"/>
    <w:rsid w:val="00D41D64"/>
    <w:rsid w:val="00D46299"/>
    <w:rsid w:val="00D63582"/>
    <w:rsid w:val="00D65F68"/>
    <w:rsid w:val="00D673B0"/>
    <w:rsid w:val="00D70289"/>
    <w:rsid w:val="00D852E8"/>
    <w:rsid w:val="00D9218A"/>
    <w:rsid w:val="00D9682B"/>
    <w:rsid w:val="00DA51E2"/>
    <w:rsid w:val="00DA77F7"/>
    <w:rsid w:val="00DC2764"/>
    <w:rsid w:val="00DC54FE"/>
    <w:rsid w:val="00DC56B7"/>
    <w:rsid w:val="00DD4D94"/>
    <w:rsid w:val="00DE29B7"/>
    <w:rsid w:val="00DF2CCF"/>
    <w:rsid w:val="00DF5108"/>
    <w:rsid w:val="00E0078B"/>
    <w:rsid w:val="00E05329"/>
    <w:rsid w:val="00E25092"/>
    <w:rsid w:val="00E312E1"/>
    <w:rsid w:val="00E33E70"/>
    <w:rsid w:val="00E35A2D"/>
    <w:rsid w:val="00E42361"/>
    <w:rsid w:val="00E6083E"/>
    <w:rsid w:val="00E74512"/>
    <w:rsid w:val="00E74AD4"/>
    <w:rsid w:val="00E90EC5"/>
    <w:rsid w:val="00EB4385"/>
    <w:rsid w:val="00EC20EC"/>
    <w:rsid w:val="00ED0BB4"/>
    <w:rsid w:val="00EE1052"/>
    <w:rsid w:val="00EE2FB3"/>
    <w:rsid w:val="00EE6E84"/>
    <w:rsid w:val="00EE788A"/>
    <w:rsid w:val="00EF0E05"/>
    <w:rsid w:val="00EF28E4"/>
    <w:rsid w:val="00EF2959"/>
    <w:rsid w:val="00F1152D"/>
    <w:rsid w:val="00F22A03"/>
    <w:rsid w:val="00F45E1D"/>
    <w:rsid w:val="00F563BA"/>
    <w:rsid w:val="00F56B37"/>
    <w:rsid w:val="00F721FF"/>
    <w:rsid w:val="00F8488F"/>
    <w:rsid w:val="00FA076B"/>
    <w:rsid w:val="00FB6673"/>
    <w:rsid w:val="00FC10A4"/>
    <w:rsid w:val="00FC2D34"/>
    <w:rsid w:val="00FC561D"/>
    <w:rsid w:val="00FD1E62"/>
    <w:rsid w:val="00FE1F75"/>
    <w:rsid w:val="00FE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75B360"/>
  <w15:chartTrackingRefBased/>
  <w15:docId w15:val="{7E8011FF-C507-4AA2-B016-BAF89E85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D9682B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03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03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030E"/>
    <w:rPr>
      <w:sz w:val="18"/>
      <w:szCs w:val="18"/>
    </w:rPr>
  </w:style>
  <w:style w:type="character" w:customStyle="1" w:styleId="10">
    <w:name w:val="标题 1 字符"/>
    <w:basedOn w:val="a0"/>
    <w:link w:val="1"/>
    <w:rsid w:val="00D9682B"/>
    <w:rPr>
      <w:rFonts w:ascii="宋体" w:eastAsia="宋体" w:hAnsi="宋体" w:cs="Times New Roman"/>
      <w:b/>
      <w:bCs/>
      <w:kern w:val="44"/>
      <w:sz w:val="48"/>
      <w:szCs w:val="48"/>
    </w:rPr>
  </w:style>
  <w:style w:type="table" w:styleId="a7">
    <w:name w:val="Table Grid"/>
    <w:basedOn w:val="a1"/>
    <w:uiPriority w:val="39"/>
    <w:rsid w:val="00110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1107F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8">
    <w:name w:val="Hyperlink"/>
    <w:basedOn w:val="a0"/>
    <w:uiPriority w:val="99"/>
    <w:unhideWhenUsed/>
    <w:rsid w:val="00BB6F4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B6F4A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a"/>
    <w:link w:val="EndNoteBibliographyTitle0"/>
    <w:rsid w:val="00A23717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A23717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A23717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A23717"/>
    <w:rPr>
      <w:rFonts w:ascii="等线" w:eastAsia="等线" w:hAnsi="等线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LWQ</dc:creator>
  <cp:keywords/>
  <dc:description/>
  <cp:lastModifiedBy>LWQ</cp:lastModifiedBy>
  <cp:revision>2</cp:revision>
  <dcterms:created xsi:type="dcterms:W3CDTF">2023-01-08T12:18:00Z</dcterms:created>
  <dcterms:modified xsi:type="dcterms:W3CDTF">2023-01-08T12:18:00Z</dcterms:modified>
</cp:coreProperties>
</file>